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A" w:rsidRPr="000B3BAA" w:rsidRDefault="000B3BAA" w:rsidP="000B3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B3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6.3.1:</w:t>
      </w:r>
      <w:r w:rsidRPr="000B3BAA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0B3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 institution has effective welfare measures for teaching and non-teaching staff</w:t>
      </w:r>
    </w:p>
    <w:p w:rsidR="000B3BAA" w:rsidRDefault="000B3BAA" w:rsidP="000B3BAA">
      <w:pPr>
        <w:shd w:val="clear" w:color="auto" w:fill="FFFFFF"/>
        <w:spacing w:after="0" w:line="240" w:lineRule="auto"/>
        <w:jc w:val="both"/>
      </w:pPr>
    </w:p>
    <w:p w:rsidR="000B3BAA" w:rsidRPr="00296593" w:rsidRDefault="000B3BAA" w:rsidP="000B3BAA">
      <w:pPr>
        <w:rPr>
          <w:b/>
          <w:u w:val="single"/>
        </w:rPr>
      </w:pPr>
      <w:r w:rsidRPr="00296593">
        <w:rPr>
          <w:b/>
          <w:u w:val="single"/>
        </w:rPr>
        <w:t>Teaching Staff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General Provident Fund.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Group Insurance Scheme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proofErr w:type="spellStart"/>
      <w:r>
        <w:t>Telangana</w:t>
      </w:r>
      <w:proofErr w:type="spellEnd"/>
      <w:r>
        <w:t xml:space="preserve"> Group Life Insurance (TGLI)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Contributory Pension Scheme.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Medical Reimbursement facility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Employee Health Schemes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Vehicle Loan, Educational Loan, Housing Loan, GPF Loan, TGLI loan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Medical Leaves, Study Leaves, Maternity and Paternity Leave.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 xml:space="preserve">Faculty Development </w:t>
      </w:r>
      <w:proofErr w:type="spellStart"/>
      <w:r>
        <w:t>Programmes</w:t>
      </w:r>
      <w:proofErr w:type="spellEnd"/>
      <w:r>
        <w:t>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 xml:space="preserve">Facilitating Staff to participate in Orientation </w:t>
      </w:r>
      <w:proofErr w:type="spellStart"/>
      <w:r>
        <w:t>Programmes</w:t>
      </w:r>
      <w:proofErr w:type="spellEnd"/>
      <w:r>
        <w:t xml:space="preserve">, Refresher Courses, </w:t>
      </w:r>
      <w:proofErr w:type="gramStart"/>
      <w:r>
        <w:t>Short</w:t>
      </w:r>
      <w:proofErr w:type="gramEnd"/>
      <w:r>
        <w:t xml:space="preserve"> Term Courses.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Earned Leaving encashment, Gratuity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Leave Travel Concession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On duty facility for attending Conferences / Seminars / Workshops.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Staff club.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Sports and games.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Free snacks.</w:t>
      </w:r>
    </w:p>
    <w:p w:rsidR="000B3BAA" w:rsidRDefault="000B3BAA" w:rsidP="000B3BAA">
      <w:pPr>
        <w:ind w:left="360"/>
        <w:rPr>
          <w:b/>
          <w:u w:val="single"/>
        </w:rPr>
      </w:pPr>
      <w:r w:rsidRPr="00296593">
        <w:rPr>
          <w:b/>
          <w:u w:val="single"/>
        </w:rPr>
        <w:t>Non – Teaching</w:t>
      </w:r>
      <w:r>
        <w:rPr>
          <w:b/>
          <w:u w:val="single"/>
        </w:rPr>
        <w:t xml:space="preserve"> Staff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General Provident Fund.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Group Insurance Scheme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proofErr w:type="spellStart"/>
      <w:r>
        <w:t>Telangana</w:t>
      </w:r>
      <w:proofErr w:type="spellEnd"/>
      <w:r>
        <w:t xml:space="preserve"> Group Life Insurance (TGLI)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Medical Reimbursement facility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Employee Health Schemes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Vehicle Loan, Educational Loan, Housing Loan, GPF Loan, TGLI loan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Medical Leaves, Study Leaves, Maternity and Paternity Leave.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Earned Leaving encashment, Gratuity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Leave Travel Concession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Sports and games.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Festival Advance (Non-Teaching)</w:t>
      </w:r>
    </w:p>
    <w:p w:rsidR="000B3BAA" w:rsidRDefault="000B3BAA" w:rsidP="000B3BAA">
      <w:pPr>
        <w:pStyle w:val="ListParagraph"/>
        <w:numPr>
          <w:ilvl w:val="0"/>
          <w:numId w:val="1"/>
        </w:numPr>
      </w:pPr>
      <w:r>
        <w:t>Free snacks.</w:t>
      </w:r>
    </w:p>
    <w:p w:rsidR="000B3BAA" w:rsidRDefault="000B3BAA"/>
    <w:sectPr w:rsidR="000B3BAA" w:rsidSect="00E4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1F29"/>
    <w:multiLevelType w:val="hybridMultilevel"/>
    <w:tmpl w:val="27D8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BAA"/>
    <w:rsid w:val="000B3BAA"/>
    <w:rsid w:val="00E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3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BAA"/>
    <w:rPr>
      <w:color w:val="0000FF"/>
      <w:u w:val="single"/>
    </w:rPr>
  </w:style>
  <w:style w:type="character" w:customStyle="1" w:styleId="cketoolgroup">
    <w:name w:val="cke_toolgroup"/>
    <w:basedOn w:val="DefaultParagraphFont"/>
    <w:rsid w:val="000B3BAA"/>
  </w:style>
  <w:style w:type="character" w:customStyle="1" w:styleId="ckebuttonicon">
    <w:name w:val="cke_button_icon"/>
    <w:basedOn w:val="DefaultParagraphFont"/>
    <w:rsid w:val="000B3BAA"/>
  </w:style>
  <w:style w:type="character" w:customStyle="1" w:styleId="ckebuttonlabel">
    <w:name w:val="cke_button_label"/>
    <w:basedOn w:val="DefaultParagraphFont"/>
    <w:rsid w:val="000B3BAA"/>
  </w:style>
  <w:style w:type="character" w:customStyle="1" w:styleId="ckecombo">
    <w:name w:val="cke_combo"/>
    <w:basedOn w:val="DefaultParagraphFont"/>
    <w:rsid w:val="000B3BAA"/>
  </w:style>
  <w:style w:type="character" w:customStyle="1" w:styleId="ckecombotext">
    <w:name w:val="cke_combo_text"/>
    <w:basedOn w:val="DefaultParagraphFont"/>
    <w:rsid w:val="000B3BAA"/>
  </w:style>
  <w:style w:type="character" w:customStyle="1" w:styleId="ckebottom">
    <w:name w:val="cke_bottom"/>
    <w:basedOn w:val="DefaultParagraphFont"/>
    <w:rsid w:val="000B3BAA"/>
  </w:style>
  <w:style w:type="character" w:customStyle="1" w:styleId="ckeresizer">
    <w:name w:val="cke_resizer"/>
    <w:basedOn w:val="DefaultParagraphFont"/>
    <w:rsid w:val="000B3BAA"/>
  </w:style>
  <w:style w:type="character" w:customStyle="1" w:styleId="ckepath">
    <w:name w:val="cke_path"/>
    <w:basedOn w:val="DefaultParagraphFont"/>
    <w:rsid w:val="000B3BAA"/>
  </w:style>
  <w:style w:type="character" w:customStyle="1" w:styleId="ckepathempty">
    <w:name w:val="cke_path_empty"/>
    <w:basedOn w:val="DefaultParagraphFont"/>
    <w:rsid w:val="000B3BAA"/>
  </w:style>
  <w:style w:type="character" w:customStyle="1" w:styleId="ckepathitem">
    <w:name w:val="cke_path_item"/>
    <w:basedOn w:val="DefaultParagraphFont"/>
    <w:rsid w:val="000B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203">
          <w:marLeft w:val="0"/>
          <w:marRight w:val="0"/>
          <w:marTop w:val="0"/>
          <w:marBottom w:val="0"/>
          <w:divBdr>
            <w:top w:val="single" w:sz="6" w:space="0" w:color="B6B6B6"/>
            <w:left w:val="single" w:sz="6" w:space="0" w:color="B6B6B6"/>
            <w:bottom w:val="single" w:sz="6" w:space="0" w:color="B6B6B6"/>
            <w:right w:val="single" w:sz="6" w:space="0" w:color="B6B6B6"/>
          </w:divBdr>
          <w:divsChild>
            <w:div w:id="1808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19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GDC8</dc:creator>
  <cp:lastModifiedBy>GDC8</cp:lastModifiedBy>
  <cp:revision>1</cp:revision>
  <dcterms:created xsi:type="dcterms:W3CDTF">2021-09-06T06:35:00Z</dcterms:created>
  <dcterms:modified xsi:type="dcterms:W3CDTF">2021-09-06T06:36:00Z</dcterms:modified>
</cp:coreProperties>
</file>